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media/image1.jpeg" ContentType="image/jpeg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1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footnotes.xml.rels" ContentType="application/vnd.openxmlformats-package.relationships+xml"/>
  <Override PartName="/word/_rels/document.xml.rels" ContentType="application/vnd.openxmlformats-package.relationships+xml"/>
  <Override PartName="/word/footer12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9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right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1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right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Техническим требованиям 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2021.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  <w:br/>
        <w:t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</w:t>
      </w:r>
      <w:r>
        <w:rPr>
          <w:rFonts w:ascii="Times New Roman" w:hAnsi="Times New Roman"/>
          <w:sz w:val="22"/>
          <w:szCs w:val="22"/>
        </w:rPr>
        <w:t xml:space="preserve"> составлении сметной документации необходимо использовать сметно-нормативную базу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</w:t>
      </w:r>
      <w:r>
        <w:rPr>
          <w:rFonts w:ascii="Times New Roman" w:hAnsi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сметной стоимости работ при ремонте, реконструкции и техническом перевооружении возможно одним из нижеперечисленных методов (при формировании Технических требований (далее- ТТ) необходимо учесть один из указанных вариантов):</w:t>
      </w:r>
    </w:p>
    <w:p>
      <w:pPr>
        <w:pStyle w:val="ConsPlusNormal1"/>
        <w:widowControl/>
        <w:numPr>
          <w:ilvl w:val="1"/>
          <w:numId w:val="8"/>
        </w:numPr>
        <w:tabs>
          <w:tab w:val="clear" w:pos="709"/>
          <w:tab w:val="left" w:pos="426" w:leader="none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highlight w:val="lightGray"/>
        </w:rPr>
      </w:pPr>
      <w:r>
        <w:rPr>
          <w:rFonts w:cs="Times New Roman" w:ascii="Times New Roman" w:hAnsi="Times New Roman"/>
          <w:b/>
          <w:bCs/>
          <w:sz w:val="22"/>
          <w:szCs w:val="22"/>
          <w:highlight w:val="lightGray"/>
        </w:rPr>
        <w:t>Ресурсным</w:t>
      </w:r>
      <w:r>
        <w:rPr>
          <w:rFonts w:ascii="Times New Roman" w:hAnsi="Times New Roman"/>
          <w:sz w:val="22"/>
          <w:szCs w:val="22"/>
          <w:highlight w:val="lightGray"/>
        </w:rPr>
        <w:t xml:space="preserve"> -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 (далее - ФГИС ЦС). Сметная стоимость, определенная с применением ресурсного метода, приводится в локальных сметных расчетах (сметах) </w:t>
      </w:r>
      <w:r>
        <w:rPr>
          <w:rFonts w:ascii="Times New Roman" w:hAnsi="Times New Roman"/>
          <w:b/>
          <w:sz w:val="22"/>
          <w:szCs w:val="22"/>
          <w:highlight w:val="lightGray"/>
        </w:rPr>
        <w:t>в текущем уровне цен.</w:t>
      </w:r>
    </w:p>
    <w:p>
      <w:pPr>
        <w:pStyle w:val="ConsPlusNormal1"/>
        <w:widowControl/>
        <w:numPr>
          <w:ilvl w:val="1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highlight w:val="lightGray"/>
        </w:rPr>
      </w:pPr>
      <w:r>
        <w:rPr>
          <w:rFonts w:ascii="Times New Roman" w:hAnsi="Times New Roman"/>
          <w:b/>
          <w:sz w:val="22"/>
          <w:szCs w:val="22"/>
          <w:highlight w:val="lightGray"/>
          <w:u w:val="single"/>
        </w:rPr>
        <w:t>Базисно-индексным</w:t>
      </w:r>
      <w:r>
        <w:rPr>
          <w:rFonts w:ascii="Times New Roman" w:hAnsi="Times New Roman"/>
          <w:sz w:val="22"/>
          <w:szCs w:val="22"/>
          <w:highlight w:val="lightGray"/>
        </w:rPr>
        <w:t xml:space="preserve"> (является </w:t>
      </w:r>
      <w:r>
        <w:rPr>
          <w:rFonts w:ascii="Times New Roman" w:hAnsi="Times New Roman"/>
          <w:b/>
          <w:sz w:val="22"/>
          <w:szCs w:val="22"/>
          <w:highlight w:val="lightGray"/>
        </w:rPr>
        <w:t>приоритетным</w:t>
      </w:r>
      <w:r>
        <w:rPr>
          <w:rFonts w:ascii="Times New Roman" w:hAnsi="Times New Roman"/>
          <w:sz w:val="22"/>
          <w:szCs w:val="22"/>
          <w:highlight w:val="lightGray"/>
        </w:rPr>
        <w:t xml:space="preserve"> до полного введения ресурсно-индексного метода)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</w:t>
      </w:r>
      <w:r>
        <w:rPr>
          <w:rFonts w:ascii="Times New Roman" w:hAnsi="Times New Roman"/>
          <w:b/>
          <w:sz w:val="22"/>
          <w:szCs w:val="22"/>
          <w:highlight w:val="lightGray"/>
        </w:rPr>
        <w:t>двух уровнях цен: базисном и текущем</w:t>
      </w:r>
      <w:r>
        <w:rPr>
          <w:rFonts w:ascii="Times New Roman" w:hAnsi="Times New Roman"/>
          <w:sz w:val="22"/>
          <w:szCs w:val="22"/>
          <w:highlight w:val="lightGray"/>
        </w:rPr>
        <w:t>.</w:t>
      </w:r>
    </w:p>
    <w:p>
      <w:pPr>
        <w:pStyle w:val="ListParagraph"/>
        <w:numPr>
          <w:ilvl w:val="1"/>
          <w:numId w:val="8"/>
        </w:numPr>
        <w:tabs>
          <w:tab w:val="clear" w:pos="709"/>
          <w:tab w:val="left" w:pos="426" w:leader="none"/>
          <w:tab w:val="left" w:pos="851" w:leader="none"/>
          <w:tab w:val="left" w:pos="993" w:leader="none"/>
        </w:tabs>
        <w:spacing w:before="0" w:after="0"/>
        <w:ind w:left="0" w:firstLine="709"/>
        <w:contextualSpacing/>
        <w:jc w:val="both"/>
        <w:rPr>
          <w:rFonts w:ascii="Times New Roman" w:hAnsi="Times New Roman"/>
          <w:color w:val="FF0000"/>
          <w:highlight w:val="lightGray"/>
        </w:rPr>
      </w:pPr>
      <w:bookmarkStart w:id="0" w:name="_Hlk80987880"/>
      <w:r>
        <w:rPr>
          <w:rFonts w:ascii="Times New Roman" w:hAnsi="Times New Roman"/>
          <w:b/>
          <w:bCs/>
          <w:highlight w:val="lightGray"/>
        </w:rPr>
        <w:t>Ресурсно-индексным</w:t>
      </w:r>
      <w:r>
        <w:rPr>
          <w:rFonts w:ascii="Times New Roman" w:hAnsi="Times New Roman"/>
          <w:highlight w:val="lightGray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0"/>
      <w:r>
        <w:rPr>
          <w:rFonts w:ascii="Times New Roman" w:hAnsi="Times New Roman"/>
          <w:highlight w:val="lightGray"/>
        </w:rPr>
        <w:t xml:space="preserve">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определении сметной стоимости </w:t>
      </w:r>
      <w:r>
        <w:rPr>
          <w:rFonts w:ascii="Times New Roman" w:hAnsi="Times New Roman"/>
          <w:b/>
          <w:sz w:val="22"/>
          <w:szCs w:val="22"/>
        </w:rPr>
        <w:t>базисно-индексным</w:t>
      </w:r>
      <w:r>
        <w:rPr>
          <w:rFonts w:ascii="Times New Roman" w:hAnsi="Times New Roman"/>
          <w:sz w:val="22"/>
          <w:szCs w:val="22"/>
        </w:rPr>
        <w:t xml:space="preserve"> или </w:t>
      </w:r>
      <w:r>
        <w:rPr>
          <w:rFonts w:ascii="Times New Roman" w:hAnsi="Times New Roman"/>
          <w:b/>
          <w:sz w:val="22"/>
          <w:szCs w:val="22"/>
        </w:rPr>
        <w:t>ресурсно-индексным</w:t>
      </w:r>
      <w:r>
        <w:rPr>
          <w:rFonts w:ascii="Times New Roman" w:hAnsi="Times New Roman"/>
          <w:sz w:val="22"/>
          <w:szCs w:val="22"/>
        </w:rPr>
        <w:t xml:space="preserve">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</w:t>
      </w:r>
    </w:p>
    <w:p>
      <w:pPr>
        <w:pStyle w:val="ConsPlusNormal1"/>
        <w:widowControl/>
        <w:numPr>
          <w:ilvl w:val="1"/>
          <w:numId w:val="8"/>
        </w:numPr>
        <w:tabs>
          <w:tab w:val="clear" w:pos="709"/>
          <w:tab w:val="left" w:pos="426" w:leader="none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highlight w:val="lightGray"/>
        </w:rPr>
      </w:pPr>
      <w:r>
        <w:rPr>
          <w:rFonts w:ascii="Times New Roman" w:hAnsi="Times New Roman"/>
          <w:sz w:val="22"/>
          <w:szCs w:val="22"/>
          <w:highlight w:val="lightGray"/>
        </w:rPr>
        <w:t xml:space="preserve">Для </w:t>
      </w:r>
      <w:r>
        <w:rPr>
          <w:rFonts w:ascii="Times New Roman" w:hAnsi="Times New Roman"/>
          <w:b/>
          <w:sz w:val="22"/>
          <w:szCs w:val="22"/>
          <w:highlight w:val="lightGray"/>
          <w:u w:val="single"/>
        </w:rPr>
        <w:t>базисно-индексного метода</w:t>
      </w:r>
      <w:r>
        <w:rPr>
          <w:rFonts w:ascii="Times New Roman" w:hAnsi="Times New Roman"/>
          <w:sz w:val="22"/>
          <w:szCs w:val="22"/>
          <w:highlight w:val="lightGray"/>
        </w:rPr>
        <w:t xml:space="preserve">: </w:t>
      </w:r>
    </w:p>
    <w:tbl>
      <w:tblPr>
        <w:tblW w:w="4900" w:type="pct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86"/>
        <w:gridCol w:w="1895"/>
        <w:gridCol w:w="982"/>
        <w:gridCol w:w="1193"/>
        <w:gridCol w:w="1377"/>
        <w:gridCol w:w="1193"/>
        <w:gridCol w:w="1377"/>
        <w:gridCol w:w="1319"/>
      </w:tblGrid>
      <w:tr>
        <w:trPr>
          <w:trHeight w:val="269" w:hRule="atLeast"/>
        </w:trPr>
        <w:tc>
          <w:tcPr>
            <w:tcW w:w="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пп 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>
        <w:trPr>
          <w:trHeight w:val="269" w:hRule="atLeast"/>
        </w:trPr>
        <w:tc>
          <w:tcPr>
            <w:tcW w:w="3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8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9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1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1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4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Объекты, по которым сметная документация (в составе ПД), подлежит обязательной проверке достоверности стоимости в Государственной экспертизе</w:t>
            </w:r>
            <w:r>
              <w:rPr>
                <w:rStyle w:val="FootnoteReference"/>
                <w:rFonts w:ascii="Times New Roman" w:hAnsi="Times New Roman"/>
                <w:color w:val="000000"/>
                <w:sz w:val="18"/>
                <w:szCs w:val="18"/>
              </w:rPr>
              <w:footnoteReference w:id="2"/>
            </w:r>
          </w:p>
        </w:tc>
        <w:tc>
          <w:tcPr>
            <w:tcW w:w="13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Индексы указаны в порядке приоритетности их применения </w:t>
            </w:r>
          </w:p>
        </w:tc>
      </w:tr>
      <w:tr>
        <w:trPr>
          <w:trHeight w:val="20" w:hRule="atLeast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9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4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документация по остальным объектам, в т.ч. ТО, РЕМ, модернизация оборудования и т.п.</w:t>
            </w:r>
          </w:p>
        </w:tc>
        <w:tc>
          <w:tcPr>
            <w:tcW w:w="13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9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разрабатываемые РЦЦС, или иными органами ценообразования субъектов РФ</w:t>
            </w:r>
          </w:p>
        </w:tc>
        <w:tc>
          <w:tcPr>
            <w:tcW w:w="9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публикуемые информационными изданиями (в т.ч.  ВЦиСН, Мособлэкспертиза и др.)</w:t>
            </w:r>
          </w:p>
        </w:tc>
        <w:tc>
          <w:tcPr>
            <w:tcW w:w="9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31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ConsPlusNormal1"/>
        <w:widowControl/>
        <w:tabs>
          <w:tab w:val="clear" w:pos="709"/>
          <w:tab w:val="left" w:pos="567" w:leader="none"/>
        </w:tabs>
        <w:spacing w:before="40" w:after="40"/>
        <w:ind w:left="567" w:hanging="0"/>
        <w:jc w:val="both"/>
        <w:rPr>
          <w:rFonts w:ascii="Times New Roman" w:hAnsi="Times New Roman"/>
          <w:sz w:val="22"/>
          <w:szCs w:val="22"/>
          <w:highlight w:val="lightGray"/>
        </w:rPr>
      </w:pPr>
      <w:r>
        <w:rPr>
          <w:rFonts w:ascii="Times New Roman" w:hAnsi="Times New Roman"/>
          <w:sz w:val="22"/>
          <w:szCs w:val="22"/>
          <w:highlight w:val="lightGray"/>
        </w:rPr>
      </w:r>
    </w:p>
    <w:p>
      <w:pPr>
        <w:pStyle w:val="ConsPlusNormal1"/>
        <w:widowControl/>
        <w:numPr>
          <w:ilvl w:val="1"/>
          <w:numId w:val="8"/>
        </w:numPr>
        <w:tabs>
          <w:tab w:val="clear" w:pos="709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highlight w:val="lightGray"/>
        </w:rPr>
      </w:pPr>
      <w:r>
        <w:rPr>
          <w:rFonts w:ascii="Times New Roman" w:hAnsi="Times New Roman"/>
          <w:highlight w:val="lightGray"/>
        </w:rPr>
        <w:t xml:space="preserve">Для </w:t>
      </w:r>
      <w:r>
        <w:rPr>
          <w:rFonts w:ascii="Times New Roman" w:hAnsi="Times New Roman"/>
          <w:b/>
          <w:highlight w:val="lightGray"/>
          <w:u w:val="single"/>
        </w:rPr>
        <w:t>ресурсно-индексного метода</w:t>
      </w:r>
      <w:r>
        <w:rPr>
          <w:rFonts w:ascii="Times New Roman" w:hAnsi="Times New Roman"/>
          <w:highlight w:val="lightGray"/>
        </w:rPr>
        <w:t>: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highlight w:val="lightGray"/>
        </w:rPr>
      </w:pPr>
      <w:r>
        <w:rPr>
          <w:rFonts w:ascii="Times New Roman" w:hAnsi="Times New Roman"/>
          <w:highlight w:val="lightGray"/>
        </w:rPr>
        <w:t>индексы к отдельным строительным ресурсам, индексы к группам строительных ресурсов</w:t>
      </w:r>
      <w:r>
        <w:rPr>
          <w:rFonts w:ascii="Times New Roman" w:hAnsi="Times New Roman"/>
          <w:b/>
          <w:highlight w:val="lightGray"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ascii="Times New Roman" w:hAnsi="Times New Roman"/>
          <w:highlight w:val="lightGray"/>
        </w:rPr>
        <w:t>;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highlight w:val="lightGray"/>
        </w:rPr>
      </w:pPr>
      <w:r>
        <w:rPr>
          <w:rFonts w:ascii="Times New Roman" w:hAnsi="Times New Roman"/>
          <w:highlight w:val="lightGray"/>
        </w:rPr>
        <w:t xml:space="preserve">индексы изменения сметных цен </w:t>
      </w:r>
      <w:r>
        <w:rPr>
          <w:rFonts w:ascii="Times New Roman" w:hAnsi="Times New Roman"/>
          <w:b/>
          <w:highlight w:val="lightGray"/>
        </w:rPr>
        <w:t>на перевозку грузов</w:t>
      </w:r>
      <w:r>
        <w:rPr>
          <w:rFonts w:ascii="Times New Roman" w:hAnsi="Times New Roman"/>
          <w:highlight w:val="lightGray"/>
        </w:rPr>
        <w:t xml:space="preserve">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highlight w:val="lightGray"/>
        </w:rPr>
      </w:pPr>
      <w:r>
        <w:rPr>
          <w:rFonts w:ascii="Times New Roman" w:hAnsi="Times New Roman"/>
          <w:highlight w:val="lightGray"/>
        </w:rPr>
        <w:t xml:space="preserve">индексы изменения сметной </w:t>
      </w:r>
      <w:r>
        <w:rPr>
          <w:rFonts w:ascii="Times New Roman" w:hAnsi="Times New Roman"/>
          <w:b/>
          <w:highlight w:val="lightGray"/>
        </w:rPr>
        <w:t>стоимости оборудования</w:t>
      </w:r>
      <w:r>
        <w:rPr>
          <w:rFonts w:ascii="Times New Roman" w:hAnsi="Times New Roman"/>
          <w:highlight w:val="lightGray"/>
        </w:rPr>
        <w:t xml:space="preserve"> – применяются к сметной стоимости оборудования;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highlight w:val="lightGray"/>
        </w:rPr>
      </w:pPr>
      <w:r>
        <w:rPr>
          <w:rFonts w:ascii="Times New Roman" w:hAnsi="Times New Roman"/>
          <w:highlight w:val="lightGray"/>
        </w:rPr>
        <w:t xml:space="preserve">индексы изменения сметной стоимости, рассчитываемые для применения к сметной стоимости отдельных видов </w:t>
      </w:r>
      <w:r>
        <w:rPr>
          <w:rFonts w:ascii="Times New Roman" w:hAnsi="Times New Roman"/>
          <w:b/>
          <w:highlight w:val="lightGray"/>
        </w:rPr>
        <w:t>прочих работ и затрат.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В </w:t>
      </w:r>
      <w:r>
        <w:rPr>
          <w:rFonts w:ascii="Times New Roman" w:hAnsi="Times New Roman"/>
        </w:rPr>
        <w:t>сметных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расчетах на этап работ допускается использовать прогнозные среднегодовые индексы-дефляторы по данным Единых сценарных условий, утвержденных приказом от №  в размере … На </w:t>
      </w:r>
      <w:r>
        <w:rPr>
          <w:rFonts w:ascii="Times New Roman" w:hAnsi="Times New Roman"/>
        </w:rPr>
        <w:t>основании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и 2023 год.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случае, если </w:t>
      </w:r>
      <w:r>
        <w:rPr>
          <w:rFonts w:cs="Times New Roman" w:ascii="Times New Roman" w:hAnsi="Times New Roman"/>
          <w:color w:val="000000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соответствующих году начала строительства</w:t>
      </w:r>
      <w:r>
        <w:rPr>
          <w:rFonts w:ascii="Times New Roman" w:hAnsi="Times New Roman"/>
          <w:color w:val="000000"/>
          <w:sz w:val="22"/>
          <w:szCs w:val="22"/>
        </w:rPr>
        <w:t>, а планируемый период выполнения работ составляет до одного календарного года, то индекс-дефлятор не применяется.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  <w:i/>
        </w:rPr>
        <w:t>отсутствия</w:t>
      </w:r>
      <w:r>
        <w:rPr>
          <w:rFonts w:ascii="Times New Roman" w:hAnsi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  <w:i/>
        </w:rPr>
        <w:t xml:space="preserve">отсутствии </w:t>
      </w:r>
      <w:r>
        <w:rPr>
          <w:rFonts w:ascii="Times New Roman" w:hAnsi="Times New Roman"/>
        </w:rPr>
        <w:t xml:space="preserve">информации о сметных ценах в ФГИС ЦС и ФССЦ по материальным ресурсам и оборудованию, их сметная цена формируется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 </w:t>
      </w:r>
      <w:r>
        <w:rPr>
          <w:rFonts w:ascii="Times New Roman" w:hAnsi="Times New Roman"/>
          <w:b/>
          <w:color w:val="FF0000"/>
        </w:rPr>
        <w:t>(включить соответствующие требования Методики ПЦ отдельным приложением)</w:t>
      </w:r>
      <w:r>
        <w:rPr>
          <w:rFonts w:ascii="Times New Roman" w:hAnsi="Times New Roman"/>
        </w:rPr>
        <w:t>.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0"/>
          <w:numId w:val="17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8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1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851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11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11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11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включаются в Главу 9 ССРСС</w:t>
      </w:r>
      <w:r>
        <w:rPr>
          <w:rFonts w:ascii="Times New Roman" w:hAnsi="Times New Roman"/>
          <w:b/>
          <w:color w:val="FF0000"/>
        </w:rPr>
        <w:t>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внесении изменений в сметную документацию разрабатывается сводный сметный </w:t>
      </w:r>
    </w:p>
    <w:p>
      <w:pPr>
        <w:pStyle w:val="Normal"/>
        <w:tabs>
          <w:tab w:val="left" w:pos="284" w:leader="none"/>
          <w:tab w:val="left" w:pos="709" w:leader="none"/>
          <w:tab w:val="left" w:pos="851" w:leader="none"/>
        </w:tabs>
        <w:spacing w:lineRule="auto" w:line="240" w:before="40" w:after="4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</w:p>
    <w:p>
      <w:pPr>
        <w:pStyle w:val="Normal"/>
        <w:tabs>
          <w:tab w:val="left" w:pos="284" w:leader="none"/>
          <w:tab w:val="left" w:pos="709" w:leader="none"/>
          <w:tab w:val="left" w:pos="851" w:leader="none"/>
        </w:tabs>
        <w:spacing w:lineRule="auto" w:line="240" w:before="40" w:after="4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 w:ascii="Times New Roman" w:hAnsi="Times New Roman"/>
          <w:sz w:val="22"/>
          <w:szCs w:val="22"/>
          <w:lang w:val="en-US"/>
        </w:rPr>
        <w:t>VII</w:t>
      </w:r>
      <w:r>
        <w:rPr>
          <w:rFonts w:cs="Times New Roman" w:ascii="Times New Roman" w:hAnsi="Times New Roman"/>
          <w:sz w:val="22"/>
          <w:szCs w:val="22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6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- 700 руб./сутки;</w:t>
      </w:r>
    </w:p>
    <w:p>
      <w:pPr>
        <w:pStyle w:val="ConsPlusNormal1"/>
        <w:numPr>
          <w:ilvl w:val="0"/>
          <w:numId w:val="6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5000 руб./сутки;</w:t>
      </w:r>
    </w:p>
    <w:p>
      <w:pPr>
        <w:pStyle w:val="ConsPlusNormal1"/>
        <w:numPr>
          <w:ilvl w:val="0"/>
          <w:numId w:val="6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i/>
          <w:color w:val="000000" w:themeColor="text1"/>
          <w:sz w:val="22"/>
          <w:szCs w:val="22"/>
        </w:rPr>
      </w:pPr>
      <w:r>
        <w:rPr>
          <w:rFonts w:cs="Times New Roman" w:ascii="Times New Roman" w:hAnsi="Times New Roman"/>
          <w:b/>
          <w:i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b/>
          <w:highlight w:val="lightGray"/>
          <w:u w:val="single"/>
        </w:rPr>
      </w:pPr>
      <w:r>
        <w:rPr>
          <w:rFonts w:ascii="Times New Roman" w:hAnsi="Times New Roman"/>
          <w:highlight w:val="lightGray"/>
        </w:rPr>
        <w:t xml:space="preserve">В </w:t>
      </w:r>
      <w:r>
        <w:rPr>
          <w:rFonts w:ascii="Times New Roman" w:hAnsi="Times New Roman"/>
          <w:color w:val="000000"/>
          <w:highlight w:val="lightGray"/>
        </w:rPr>
        <w:t>локальных</w:t>
      </w:r>
      <w:r>
        <w:rPr>
          <w:rFonts w:ascii="Times New Roman" w:hAnsi="Times New Roman"/>
          <w:highlight w:val="lightGray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highlight w:val="lightGray"/>
          <w:u w:val="single"/>
        </w:rPr>
        <w:t>округлять: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>
        <w:rPr>
          <w:rFonts w:cs="Times New Roman" w:ascii="Times New Roman" w:hAnsi="Times New Roman"/>
          <w:sz w:val="22"/>
          <w:szCs w:val="22"/>
          <w:highlight w:val="lightGray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2"/>
          <w:szCs w:val="22"/>
          <w:highlight w:val="lightGray"/>
        </w:rPr>
        <w:t>.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>
        <w:rPr>
          <w:rFonts w:cs="Times New Roman" w:ascii="Times New Roman" w:hAnsi="Times New Roman"/>
          <w:sz w:val="22"/>
          <w:szCs w:val="22"/>
          <w:highlight w:val="lightGray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2"/>
          <w:szCs w:val="22"/>
          <w:highlight w:val="lightGray"/>
        </w:rPr>
        <w:t>до целых единиц</w:t>
      </w:r>
      <w:r>
        <w:rPr>
          <w:rFonts w:cs="Times New Roman" w:ascii="Times New Roman" w:hAnsi="Times New Roman"/>
          <w:sz w:val="22"/>
          <w:szCs w:val="22"/>
          <w:highlight w:val="lightGray"/>
        </w:rPr>
        <w:t>;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>
        <w:rPr>
          <w:rFonts w:cs="Times New Roman" w:ascii="Times New Roman" w:hAnsi="Times New Roman"/>
          <w:sz w:val="22"/>
          <w:szCs w:val="22"/>
          <w:highlight w:val="lightGray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</w:rPr>
        <w:footnoteReference w:id="3"/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1"/>
          <w:numId w:val="8"/>
        </w:numPr>
        <w:tabs>
          <w:tab w:val="left" w:pos="709" w:leader="none"/>
          <w:tab w:val="left" w:pos="851" w:leader="none"/>
          <w:tab w:val="left" w:pos="1560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</w:t>
      </w:r>
      <w:r>
        <w:rPr>
          <w:rFonts w:cs="Times New Roman" w:ascii="Times New Roman" w:hAnsi="Times New Roman"/>
          <w:sz w:val="22"/>
          <w:szCs w:val="22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numPr>
          <w:ilvl w:val="1"/>
          <w:numId w:val="8"/>
        </w:numPr>
        <w:tabs>
          <w:tab w:val="left" w:pos="709" w:leader="none"/>
          <w:tab w:val="left" w:pos="851" w:leader="none"/>
          <w:tab w:val="left" w:pos="1560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left" w:pos="709" w:leader="none"/>
          <w:tab w:val="left" w:pos="851" w:leader="none"/>
          <w:tab w:val="left" w:pos="1418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>Рассчитанная</w:t>
      </w:r>
      <w:r>
        <w:rPr>
          <w:rFonts w:ascii="Times New Roman" w:hAnsi="Times New Roman"/>
        </w:rPr>
        <w:t xml:space="preserve">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ascii="Times New Roman" w:hAnsi="Times New Roman"/>
        </w:rPr>
        <w:footnoteReference w:id="4"/>
      </w:r>
      <w:r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приложении 4 к настоящим требованиям. 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воде: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 норм и расценок исключать стоимость воды.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Учтенные в составе накладных расходов: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пожарной и сторожевой охраны (удельный вес статьи затрат в накладных расходах - 2,01%);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расходы</w:t>
      </w:r>
      <w:r>
        <w:rPr>
          <w:rFonts w:cs="Times New Roman" w:ascii="Times New Roman" w:hAnsi="Times New Roman"/>
          <w:sz w:val="22"/>
          <w:szCs w:val="22"/>
        </w:rPr>
        <w:t xml:space="preserve"> по благоустройству и содержанию строительных площадок (удельный вес статьи затрат в накладных расходах – 1,61%)</w:t>
      </w:r>
    </w:p>
    <w:p>
      <w:pPr>
        <w:pStyle w:val="Normal"/>
        <w:tabs>
          <w:tab w:val="left" w:pos="709" w:leader="none"/>
          <w:tab w:val="left" w:pos="851" w:leader="none"/>
          <w:tab w:val="left" w:pos="1418" w:leader="none"/>
        </w:tabs>
        <w:spacing w:lineRule="auto" w:line="240" w:before="40" w:after="4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  <w:vertAlign w:val="superscript"/>
        </w:rPr>
        <w:footnoteReference w:id="5"/>
      </w:r>
      <w:r>
        <w:rPr>
          <w:rFonts w:ascii="Times New Roman" w:hAnsi="Times New Roman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  <w:drawing>
          <wp:inline distT="0" distB="0" distL="0" distR="0">
            <wp:extent cx="5890260" cy="3155950"/>
            <wp:effectExtent l="0" t="0" r="0" b="0"/>
            <wp:docPr id="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footnotePr>
            <w:numFmt w:val="decimal"/>
            <w:numRestart w:val="eachSect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7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программе ремонтов, реконструкции и техническому перевооружению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Start w:id="20" w:name="P3258"/>
      <w:bookmarkStart w:id="21" w:name="P2506"/>
      <w:bookmarkStart w:id="22" w:name="P2522"/>
      <w:bookmarkStart w:id="23" w:name="P2523"/>
      <w:bookmarkStart w:id="24" w:name="P2524"/>
      <w:bookmarkStart w:id="25" w:name="P2525"/>
      <w:bookmarkStart w:id="26" w:name="P2526"/>
      <w:bookmarkStart w:id="27" w:name="P2527"/>
      <w:bookmarkStart w:id="28" w:name="P2528"/>
      <w:bookmarkStart w:id="29" w:name="P2529"/>
      <w:bookmarkStart w:id="30" w:name="P2530"/>
      <w:bookmarkStart w:id="31" w:name="P2531"/>
      <w:bookmarkStart w:id="32" w:name="P2546"/>
      <w:bookmarkStart w:id="33" w:name="P2566"/>
      <w:bookmarkStart w:id="34" w:name="P2616"/>
      <w:bookmarkStart w:id="35" w:name="P2736"/>
      <w:bookmarkStart w:id="36" w:name="P2746"/>
      <w:bookmarkStart w:id="37" w:name="P294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4"/>
        <w:gridCol w:w="282"/>
        <w:gridCol w:w="1271"/>
        <w:gridCol w:w="363"/>
        <w:gridCol w:w="1343"/>
        <w:gridCol w:w="425"/>
        <w:gridCol w:w="1136"/>
        <w:gridCol w:w="1558"/>
        <w:gridCol w:w="1418"/>
        <w:gridCol w:w="1557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3"/>
        <w:gridCol w:w="9691"/>
      </w:tblGrid>
      <w:tr>
        <w:trPr/>
        <w:tc>
          <w:tcPr>
            <w:tcW w:w="1223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1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3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1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7"/>
        <w:gridCol w:w="990"/>
        <w:gridCol w:w="294"/>
        <w:gridCol w:w="1635"/>
        <w:gridCol w:w="56"/>
        <w:gridCol w:w="1700"/>
        <w:gridCol w:w="14"/>
        <w:gridCol w:w="1264"/>
        <w:gridCol w:w="1419"/>
        <w:gridCol w:w="1135"/>
        <w:gridCol w:w="1770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1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8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8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3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footerReference w:type="first" r:id="rId5"/>
          <w:footnotePr>
            <w:numFmt w:val="decimal"/>
            <w:numRestart w:val="eachSect"/>
          </w:footnotePr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ind w:hanging="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0"/>
        <w:gridCol w:w="851"/>
        <w:gridCol w:w="1276"/>
        <w:gridCol w:w="1276"/>
        <w:gridCol w:w="1701"/>
        <w:gridCol w:w="1702"/>
        <w:gridCol w:w="2124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footnotePr>
            <w:numFmt w:val="decimal"/>
            <w:numRestart w:val="eachSect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sectPr>
          <w:footerReference w:type="default" r:id="rId8"/>
          <w:footerReference w:type="first" r:id="rId9"/>
          <w:footnotePr>
            <w:numFmt w:val="decimal"/>
            <w:numRestart w:val="eachSect"/>
          </w:footnotePr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5"/>
              <w:gridCol w:w="2209"/>
              <w:gridCol w:w="1107"/>
              <w:gridCol w:w="1185"/>
              <w:gridCol w:w="1417"/>
              <w:gridCol w:w="1418"/>
              <w:gridCol w:w="1737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суточные - 700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проживание - до 5000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lang w:eastAsia="en-US"/>
        </w:rPr>
        <w:t>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/>
          <w:b/>
          <w:i/>
          <w:i/>
          <w:color w:val="000000" w:themeColor="text1"/>
          <w:lang w:eastAsia="en-US"/>
        </w:rPr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 в соответствии с Методикой ПЦ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10"/>
          <w:footerReference w:type="first" r:id="rId11"/>
          <w:footnotePr>
            <w:numFmt w:val="decimal"/>
            <w:numRestart w:val="eachSect"/>
          </w:footnotePr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  <w:vertAlign w:val="superscript"/>
        </w:rPr>
        <w:footnoteReference w:id="6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5"/>
        <w:gridCol w:w="142"/>
        <w:gridCol w:w="991"/>
        <w:gridCol w:w="710"/>
        <w:gridCol w:w="1275"/>
        <w:gridCol w:w="709"/>
        <w:gridCol w:w="1442"/>
        <w:gridCol w:w="1310"/>
        <w:gridCol w:w="935"/>
        <w:gridCol w:w="1133"/>
        <w:gridCol w:w="1558"/>
      </w:tblGrid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sectPr>
          <w:footerReference w:type="default" r:id="rId12"/>
          <w:footerReference w:type="first" r:id="rId13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2" w:firstLine="3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tabs>
          <w:tab w:val="clear" w:pos="709"/>
          <w:tab w:val="left" w:pos="13892" w:leader="none"/>
        </w:tabs>
        <w:spacing w:lineRule="auto" w:line="240" w:before="0" w:after="0"/>
        <w:ind w:left="5812" w:right="253" w:hanging="0"/>
        <w:jc w:val="right"/>
        <w:rPr>
          <w:rFonts w:ascii="Times New Roman" w:hAnsi="Times New Roman"/>
          <w:sz w:val="20"/>
          <w:szCs w:val="20"/>
        </w:rPr>
      </w:pPr>
      <w:r>
        <w:rPr/>
      </w:r>
    </w:p>
    <w:sectPr>
      <w:footerReference w:type="default" r:id="rId14"/>
      <w:footerReference w:type="first" r:id="rId15"/>
      <w:footnotePr>
        <w:numFmt w:val="decimal"/>
        <w:numRestart w:val="eachSect"/>
      </w:footnotePr>
      <w:type w:val="nextPage"/>
      <w:pgSz w:w="11906" w:h="16838"/>
      <w:pgMar w:left="1701" w:right="850" w:gutter="0" w:header="0" w:top="0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3373616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3614653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</w:p>
  <w:p>
    <w:pPr>
      <w:pStyle w:val="Footer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2386437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3146375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9968969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2929119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Для объектов строительства/реконструкции, по которым сметная документация (в составе ПД), подлежит обязательной проверке достоверности сметной стоимости в рамках государственной экспертизы проектной документации, возможно применение индексов изменения сметной стоимости в соответствии с приоритетностью, указанной в Варианте 2, при условии не превышения сметной стоимости строительства/реконструкции объекта, определенной в соответствии с результатами государственной экспертизы.</w:t>
      </w:r>
    </w:p>
    <w:p>
      <w:pPr>
        <w:pStyle w:val="FootnoteText"/>
        <w:widowControl w:val="false"/>
        <w:jc w:val="both"/>
        <w:rPr>
          <w:b/>
          <w:bCs/>
        </w:rPr>
      </w:pPr>
      <w:r>
        <w:rPr>
          <w:b/>
          <w:bCs/>
        </w:rPr>
        <w:t>Допускается применение менее приоритетных индексов, в случае, если более приоритетные не выпускаются, либо, если задержка в публикации индексов составляет 2 и более кварталов, например: если уже начался 3 квартал года, а еще не выпущены индексы на 1 квартал, то допускается применять другие индексы.</w:t>
      </w:r>
    </w:p>
    <w:p>
      <w:pPr>
        <w:pStyle w:val="FootnoteText"/>
        <w:widowControl w:val="false"/>
        <w:rPr/>
      </w:pPr>
      <w:r>
        <w:rPr/>
      </w:r>
    </w:p>
    <w:p>
      <w:pPr>
        <w:pStyle w:val="FootnoteText"/>
        <w:widowControl w:val="false"/>
        <w:rPr/>
      </w:pPr>
      <w:r>
        <w:rPr/>
      </w:r>
    </w:p>
  </w:footnote>
  <w:footnote w:id="3">
    <w:p>
      <w:pPr>
        <w:pStyle w:val="FootnoteText"/>
        <w:widowControl w:val="false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Пункт </w:t>
      </w:r>
      <w:r>
        <w:rPr/>
        <w:fldChar w:fldCharType="begin"/>
      </w:r>
      <w:r>
        <w:rPr/>
        <w:instrText xml:space="preserve"> REF _Ref19086149 \r \h </w:instrText>
      </w:r>
      <w:r>
        <w:rPr/>
        <w:fldChar w:fldCharType="separate"/>
      </w:r>
      <w:r>
        <w:rPr/>
        <w:t>Ошибка: источник перекрёстной ссылки не найден</w:t>
      </w:r>
      <w:r>
        <w:rPr/>
        <w:fldChar w:fldCharType="end"/>
      </w:r>
      <w:r>
        <w:rPr/>
        <w:t xml:space="preserve">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4">
    <w:p>
      <w:pPr>
        <w:pStyle w:val="FootnoteText"/>
        <w:widowControl w:val="false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Hyperlink"/>
          </w:rPr>
          <w:t>http://grandsmeta82.ru/znaj-kak/grand-smeta-baza-znanij/109-raschet-zatrat-na-energonositeli-elektroenergiyu-toplivo-i-pr-v-grand-smete.html</w:t>
        </w:r>
      </w:hyperlink>
      <w:r>
        <w:rPr/>
        <w:t xml:space="preserve"> </w:t>
      </w:r>
    </w:p>
    <w:p>
      <w:pPr>
        <w:pStyle w:val="FootnoteText"/>
        <w:widowControl w:val="false"/>
        <w:jc w:val="both"/>
        <w:rPr/>
      </w:pPr>
      <w:r>
        <w:rPr/>
      </w:r>
    </w:p>
  </w:footnote>
  <w:footnote w:id="5">
    <w:p>
      <w:pPr>
        <w:pStyle w:val="Normal"/>
        <w:widowControl w:val="false"/>
        <w:jc w:val="both"/>
        <w:rPr>
          <w:rFonts w:ascii="Times New Roman" w:hAnsi="Times New Roman"/>
          <w:szCs w:val="24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Fonts w:eastAsia="Calibri" w:ascii="Times New Roman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Cs w:val="24"/>
        </w:rPr>
        <w:t xml:space="preserve"> </w:t>
      </w:r>
    </w:p>
    <w:p>
      <w:pPr>
        <w:pStyle w:val="FootnoteText"/>
        <w:widowControl w:val="false"/>
        <w:rPr/>
      </w:pPr>
      <w:r>
        <w:rPr/>
      </w:r>
    </w:p>
  </w:footnote>
  <w:footnote w:id="6">
    <w:p>
      <w:pPr>
        <w:pStyle w:val="FootnoteText"/>
        <w:widowControl w:val="false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widowControl w:val="false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2"/>
  </w:num>
  <w:num w:numId="18">
    <w:abstractNumId w:val="1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13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 Знак"/>
    <w:basedOn w:val="Normal"/>
    <w:qFormat/>
    <w:rsid w:val="00927253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notes" Target="footnotes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023FE-0627-4100-8C61-3168A291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AlterOffice/3.4.0.9$Linux_X86_64 LibreOffice_project/b8daf9e823b1a5463a2f48435ddc2e8696e7d4fc</Application>
  <AppVersion>15.0000</AppVersion>
  <Pages>30</Pages>
  <Words>4863</Words>
  <Characters>33950</Characters>
  <CharactersWithSpaces>39754</CharactersWithSpaces>
  <Paragraphs>604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2023-07-04T03:57:00Z</dcterms:created>
  <dc:creator>Торопов Денис Владимирович</dc:creator>
  <dc:description/>
  <dc:language>ru-RU</dc:language>
  <cp:lastModifiedBy>vishniakovie@corp.gidroogk.com</cp:lastModifiedBy>
  <cp:lastPrinted>2021-07-09T09:18:00Z</cp:lastPrinted>
  <dcterms:modified xsi:type="dcterms:W3CDTF">2024-09-11T17:24:46Z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